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C" w:rsidRDefault="00773EAC" w:rsidP="00773EAC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7C1A" w:rsidRPr="008F7C1A" w:rsidRDefault="00F6323D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РАКАЛОВ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F6323D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F7C1A" w:rsidRPr="008F7C1A" w:rsidRDefault="00F6323D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C1A" w:rsidRPr="008F7C1A" w:rsidRDefault="00CF0D87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73384">
        <w:rPr>
          <w:rFonts w:ascii="Times New Roman" w:hAnsi="Times New Roman" w:cs="Times New Roman"/>
          <w:sz w:val="28"/>
          <w:szCs w:val="28"/>
        </w:rPr>
        <w:t>.03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</w:t>
      </w:r>
      <w:r w:rsidR="00473384">
        <w:rPr>
          <w:rFonts w:ascii="Times New Roman" w:hAnsi="Times New Roman" w:cs="Times New Roman"/>
          <w:sz w:val="28"/>
          <w:szCs w:val="28"/>
        </w:rPr>
        <w:t>84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A" w:rsidRPr="008F7C1A" w:rsidRDefault="00F6323D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Ракалово</w:t>
      </w: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4A5C1F">
        <w:rPr>
          <w:rFonts w:ascii="Times New Roman" w:hAnsi="Times New Roman" w:cs="Times New Roman"/>
          <w:b/>
          <w:color w:val="000000"/>
          <w:sz w:val="28"/>
          <w:szCs w:val="28"/>
        </w:rPr>
        <w:t>Ракаловского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8F7C1A">
        <w:rPr>
          <w:rFonts w:ascii="Times New Roman" w:hAnsi="Times New Roman" w:cs="Times New Roman"/>
          <w:sz w:val="28"/>
          <w:szCs w:val="28"/>
        </w:rPr>
        <w:t>ская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="00F6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3C2">
        <w:rPr>
          <w:rFonts w:ascii="Times New Roman" w:hAnsi="Times New Roman" w:cs="Times New Roman"/>
          <w:color w:val="000000"/>
          <w:sz w:val="28"/>
          <w:szCs w:val="28"/>
        </w:rPr>
        <w:t xml:space="preserve">Ракаловского сельского поселения 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F6323D">
        <w:rPr>
          <w:rFonts w:ascii="Times New Roman" w:eastAsia="Calibri" w:hAnsi="Times New Roman" w:cs="Times New Roman"/>
          <w:sz w:val="28"/>
          <w:szCs w:val="28"/>
        </w:rPr>
        <w:t>Ракалов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Думы: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30.08.2021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154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в</w:t>
      </w:r>
      <w:r w:rsidR="004A5C1F">
        <w:rPr>
          <w:rFonts w:ascii="Times New Roman" w:hAnsi="Times New Roman" w:cs="Times New Roman"/>
          <w:sz w:val="28"/>
          <w:szCs w:val="28"/>
        </w:rPr>
        <w:t xml:space="preserve"> Ракаловском сельском поселении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08.07.2024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4802CA" w:rsidRDefault="000933C3" w:rsidP="004802C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02CA">
        <w:rPr>
          <w:rFonts w:ascii="Times New Roman" w:eastAsia="Calibri" w:hAnsi="Times New Roman" w:cs="Times New Roman"/>
          <w:sz w:val="28"/>
          <w:szCs w:val="28"/>
        </w:rPr>
        <w:t xml:space="preserve">17.09.2024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802CA">
        <w:rPr>
          <w:rFonts w:ascii="Times New Roman" w:eastAsia="Calibri" w:hAnsi="Times New Roman" w:cs="Times New Roman"/>
          <w:sz w:val="28"/>
          <w:szCs w:val="28"/>
        </w:rPr>
        <w:t>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2CA">
        <w:rPr>
          <w:rFonts w:ascii="Times New Roman" w:eastAsia="Calibri" w:hAnsi="Times New Roman" w:cs="Times New Roman"/>
          <w:sz w:val="28"/>
          <w:szCs w:val="28"/>
        </w:rPr>
        <w:t>«</w:t>
      </w:r>
      <w:r w:rsidR="004802CA" w:rsidRPr="004802CA">
        <w:rPr>
          <w:rFonts w:ascii="Times New Roman" w:hAnsi="Times New Roman" w:cs="Times New Roman"/>
          <w:sz w:val="28"/>
          <w:szCs w:val="28"/>
        </w:rPr>
        <w:t>О внесении изменений в решение Ракаловской сельской Думы</w:t>
      </w:r>
      <w:r w:rsidR="004802CA">
        <w:rPr>
          <w:rFonts w:ascii="Times New Roman" w:hAnsi="Times New Roman" w:cs="Times New Roman"/>
          <w:sz w:val="28"/>
          <w:szCs w:val="28"/>
        </w:rPr>
        <w:t xml:space="preserve"> </w:t>
      </w:r>
      <w:r w:rsidR="004802CA" w:rsidRPr="004802CA">
        <w:rPr>
          <w:rFonts w:ascii="Times New Roman" w:hAnsi="Times New Roman" w:cs="Times New Roman"/>
          <w:sz w:val="28"/>
          <w:szCs w:val="28"/>
        </w:rPr>
        <w:t>от 30.08.2021 № 154</w:t>
      </w:r>
      <w:r w:rsidRPr="004802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3C3" w:rsidRDefault="008F7C1A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0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8F7C1A" w:rsidRPr="008F7C1A" w:rsidRDefault="000933C3" w:rsidP="004733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Ракаловской</w:t>
      </w:r>
    </w:p>
    <w:p w:rsidR="00E556A4" w:rsidRPr="00CD518C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сельской Думы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Н.С.Усатова</w:t>
      </w:r>
      <w:proofErr w:type="spellEnd"/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</w:p>
    <w:p w:rsidR="00E556A4" w:rsidRDefault="00E556A4" w:rsidP="00E556A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Ракаловского</w:t>
      </w:r>
    </w:p>
    <w:p w:rsidR="00E556A4" w:rsidRDefault="00E556A4" w:rsidP="00E556A4">
      <w:pPr>
        <w:tabs>
          <w:tab w:val="left" w:pos="603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  <w:t xml:space="preserve">               О.А.Шитова</w:t>
      </w:r>
    </w:p>
    <w:p w:rsidR="00E556A4" w:rsidRDefault="00E556A4" w:rsidP="00E556A4">
      <w:pPr>
        <w:rPr>
          <w:rFonts w:ascii="Times New Roman" w:hAnsi="Times New Roman"/>
          <w:sz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D" w:rsidRPr="00F6323D" w:rsidRDefault="00F6323D" w:rsidP="00F6323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323D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</w:t>
      </w:r>
      <w:r w:rsidR="007528FE">
        <w:rPr>
          <w:rFonts w:ascii="Times New Roman" w:hAnsi="Times New Roman" w:cs="Times New Roman"/>
          <w:sz w:val="28"/>
          <w:szCs w:val="28"/>
        </w:rPr>
        <w:t xml:space="preserve"> Ракаловского сельского поселения</w:t>
      </w:r>
      <w:r w:rsidRPr="00F6323D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 и обнародованию на </w:t>
      </w:r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Pr="00F6323D">
        <w:rPr>
          <w:rFonts w:ascii="Times New Roman" w:eastAsia="Calibri" w:hAnsi="Times New Roman" w:cs="Times New Roman"/>
          <w:sz w:val="28"/>
          <w:szCs w:val="28"/>
        </w:rPr>
        <w:t>Белохолуницкий</w:t>
      </w:r>
      <w:proofErr w:type="spellEnd"/>
      <w:r w:rsidRPr="00F6323D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Кировской области в сети «Интернет» на едином Интернет - портале </w:t>
      </w:r>
      <w:hyperlink r:id="rId6" w:history="1">
        <w:r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F632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6323D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>
        <w:rPr>
          <w:rFonts w:ascii="Times New Roman" w:hAnsi="Times New Roman" w:cs="Times New Roman"/>
          <w:sz w:val="28"/>
          <w:szCs w:val="28"/>
        </w:rPr>
        <w:t>ской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48426A">
        <w:rPr>
          <w:rFonts w:ascii="Times New Roman" w:hAnsi="Times New Roman" w:cs="Times New Roman"/>
          <w:sz w:val="28"/>
          <w:szCs w:val="28"/>
        </w:rPr>
        <w:t>13</w:t>
      </w:r>
      <w:bookmarkStart w:id="1" w:name="_GoBack"/>
      <w:bookmarkEnd w:id="1"/>
      <w:r w:rsidR="00473384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473384">
        <w:rPr>
          <w:rFonts w:ascii="Times New Roman" w:hAnsi="Times New Roman" w:cs="Times New Roman"/>
          <w:sz w:val="28"/>
          <w:szCs w:val="28"/>
        </w:rPr>
        <w:t xml:space="preserve"> №84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F6323D" w:rsidRDefault="00F6323D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Ракал</w:t>
      </w:r>
      <w:r w:rsidR="00002D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овского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</w:p>
    <w:p w:rsidR="003E3F87" w:rsidRPr="003E3F87" w:rsidRDefault="00515922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Федеральный закон № 248-ФЗ), Федеральным законом от 11.06.2021 № 170-ФЗ «О внесении изменений</w:t>
      </w:r>
      <w:proofErr w:type="gramEnd"/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4A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Ракаловское сельское поселение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="00F6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Ракаловского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Ракаловского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(руководитель контрольного органа);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(инспектор).</w:t>
      </w:r>
    </w:p>
    <w:p w:rsidR="003E3F87" w:rsidRPr="0051752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8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</w:t>
      </w:r>
      <w:r w:rsidR="003E3F87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6"/>
      <w:bookmarkEnd w:id="3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5_Копия_1"/>
      <w:bookmarkEnd w:id="4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10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6_Копия_1"/>
      <w:bookmarkEnd w:id="5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Pr="00E5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1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="00F6323D" w:rsidRPr="00F6323D">
        <w:rPr>
          <w:rFonts w:ascii="Times New Roman" w:hAnsi="Times New Roman" w:cs="Times New Roman"/>
          <w:sz w:val="28"/>
          <w:szCs w:val="28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23D" w:rsidRPr="00F632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F6323D" w:rsidRPr="00F6323D">
          <w:rPr>
            <w:rStyle w:val="a3"/>
            <w:rFonts w:ascii="Times New Roman" w:hAnsi="Times New Roman" w:cs="Times New Roman"/>
            <w:sz w:val="28"/>
            <w:szCs w:val="28"/>
          </w:rPr>
          <w:t>https://rakalovskoe-selskoe-pos-r43.gosweb.gosuslugi.ru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6323D" w:rsidRPr="00E53E6F" w:rsidRDefault="00F6323D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5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6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7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8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23D">
        <w:rPr>
          <w:rFonts w:ascii="Times New Roman" w:hAnsi="Times New Roman" w:cs="Times New Roman"/>
          <w:sz w:val="28"/>
          <w:szCs w:val="28"/>
        </w:rPr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1. Наличие сведений о выявлении в течени</w:t>
      </w:r>
      <w:proofErr w:type="gramStart"/>
      <w:r w:rsidRPr="000933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33C3">
        <w:rPr>
          <w:rFonts w:ascii="Times New Roman" w:hAnsi="Times New Roman" w:cs="Times New Roman"/>
          <w:sz w:val="28"/>
          <w:szCs w:val="28"/>
        </w:rPr>
        <w:t xml:space="preserve">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F6323D">
        <w:rPr>
          <w:rFonts w:ascii="Times New Roman" w:hAnsi="Times New Roman" w:cs="Times New Roman"/>
          <w:sz w:val="28"/>
          <w:szCs w:val="28"/>
        </w:rPr>
        <w:lastRenderedPageBreak/>
        <w:t>Ракалов</w:t>
      </w:r>
      <w:r w:rsidRPr="000933C3">
        <w:rPr>
          <w:rFonts w:ascii="Times New Roman" w:hAnsi="Times New Roman" w:cs="Times New Roman"/>
          <w:sz w:val="28"/>
          <w:szCs w:val="28"/>
        </w:rPr>
        <w:t>ского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</w:t>
      </w:r>
      <w:r w:rsidR="00F6323D">
        <w:rPr>
          <w:rFonts w:ascii="Times New Roman" w:hAnsi="Times New Roman" w:cs="Times New Roman"/>
          <w:sz w:val="28"/>
          <w:szCs w:val="28"/>
        </w:rPr>
        <w:t xml:space="preserve"> </w:t>
      </w:r>
      <w:r w:rsidRPr="000933C3">
        <w:rPr>
          <w:rFonts w:ascii="Times New Roman" w:hAnsi="Times New Roman" w:cs="Times New Roman"/>
          <w:sz w:val="28"/>
          <w:szCs w:val="28"/>
        </w:rPr>
        <w:t>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87"/>
    <w:rsid w:val="00002DEC"/>
    <w:rsid w:val="00003332"/>
    <w:rsid w:val="00013179"/>
    <w:rsid w:val="000335FB"/>
    <w:rsid w:val="00035D03"/>
    <w:rsid w:val="000933C3"/>
    <w:rsid w:val="00172211"/>
    <w:rsid w:val="00194DED"/>
    <w:rsid w:val="00230DA8"/>
    <w:rsid w:val="002E2D93"/>
    <w:rsid w:val="00371F84"/>
    <w:rsid w:val="003A7691"/>
    <w:rsid w:val="003E3F87"/>
    <w:rsid w:val="00441B7B"/>
    <w:rsid w:val="00465309"/>
    <w:rsid w:val="00473384"/>
    <w:rsid w:val="004802CA"/>
    <w:rsid w:val="0048426A"/>
    <w:rsid w:val="004A5C1F"/>
    <w:rsid w:val="00515922"/>
    <w:rsid w:val="00517529"/>
    <w:rsid w:val="005C2A55"/>
    <w:rsid w:val="00601E55"/>
    <w:rsid w:val="00633AF3"/>
    <w:rsid w:val="00637319"/>
    <w:rsid w:val="00641401"/>
    <w:rsid w:val="00745F6F"/>
    <w:rsid w:val="007528FE"/>
    <w:rsid w:val="00773EAC"/>
    <w:rsid w:val="008A7A86"/>
    <w:rsid w:val="008F7C1A"/>
    <w:rsid w:val="00A06C45"/>
    <w:rsid w:val="00A20324"/>
    <w:rsid w:val="00A86542"/>
    <w:rsid w:val="00AE53C2"/>
    <w:rsid w:val="00B3020A"/>
    <w:rsid w:val="00BA28F9"/>
    <w:rsid w:val="00CF0D87"/>
    <w:rsid w:val="00D677E2"/>
    <w:rsid w:val="00DA1644"/>
    <w:rsid w:val="00DC3E64"/>
    <w:rsid w:val="00E53E6F"/>
    <w:rsid w:val="00E556A4"/>
    <w:rsid w:val="00EE3B19"/>
    <w:rsid w:val="00F6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1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https://rakalovskoe-selskoe-pos-r43.gosweb.gosuslugi.ru" TargetMode="External"/><Relationship Id="rId17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kalovskoe-selskoe-pos-r43.gosweb.gosuslugi.ru" TargetMode="External"/><Relationship Id="rId11" Type="http://schemas.openxmlformats.org/officeDocument/2006/relationships/hyperlink" Target="https://rakalovskoe-selskoe-pos-r43.gosweb.gosuslugi.ru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2&amp;n=193519&amp;dst=100037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2025-03-12T06:34:00Z</dcterms:created>
  <dcterms:modified xsi:type="dcterms:W3CDTF">2025-03-12T10:00:00Z</dcterms:modified>
</cp:coreProperties>
</file>